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rFonts w:ascii="Arial" w:hAnsi="Arial"/>
          <w:b w:val="1"/>
          <w:bCs w:val="1"/>
          <w:sz w:val="20"/>
          <w:szCs w:val="20"/>
          <w:u w:val="single"/>
        </w:rPr>
      </w:pPr>
    </w:p>
    <w:p>
      <w:pPr>
        <w:pStyle w:val="heading 2"/>
        <w:spacing w:before="0" w:after="0" w:line="276" w:lineRule="auto"/>
        <w:jc w:val="center"/>
        <w:rPr>
          <w:rFonts w:ascii="Arial" w:cs="Arial" w:hAnsi="Arial" w:eastAsia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Zo</w:t>
      </w:r>
      <w:r>
        <w:rPr>
          <w:rFonts w:ascii="Arial" w:hAnsi="Arial" w:hint="default"/>
          <w:sz w:val="24"/>
          <w:szCs w:val="24"/>
          <w:rtl w:val="0"/>
          <w:lang w:val="en-US"/>
        </w:rPr>
        <w:t xml:space="preserve">é </w:t>
      </w:r>
      <w:r>
        <w:rPr>
          <w:rFonts w:ascii="Arial" w:hAnsi="Arial"/>
          <w:sz w:val="24"/>
          <w:szCs w:val="24"/>
          <w:rtl w:val="0"/>
          <w:lang w:val="en-US"/>
        </w:rPr>
        <w:t>WAGNER</w:t>
      </w:r>
    </w:p>
    <w:p>
      <w:pPr>
        <w:pStyle w:val="heading 2"/>
        <w:spacing w:before="0" w:after="0" w:line="276" w:lineRule="auto"/>
        <w:jc w:val="center"/>
        <w:rPr>
          <w:rFonts w:ascii="Arial" w:cs="Arial" w:hAnsi="Arial" w:eastAsia="Arial"/>
          <w:b w:val="0"/>
          <w:bCs w:val="0"/>
          <w:sz w:val="22"/>
          <w:szCs w:val="22"/>
          <w:lang w:val="en-US"/>
        </w:rPr>
      </w:pPr>
      <w:r>
        <w:rPr>
          <w:rFonts w:ascii="Arial" w:hAnsi="Arial"/>
          <w:b w:val="0"/>
          <w:bCs w:val="0"/>
          <w:sz w:val="22"/>
          <w:szCs w:val="22"/>
          <w:rtl w:val="0"/>
          <w:lang w:val="en-US"/>
        </w:rPr>
        <w:t xml:space="preserve">Attorney at SCHILTZ &amp; SCHILTZ </w:t>
      </w:r>
    </w:p>
    <w:p>
      <w:pPr>
        <w:pStyle w:val="heading 2"/>
        <w:spacing w:before="0" w:after="0" w:line="276" w:lineRule="auto"/>
        <w:jc w:val="center"/>
        <w:rPr>
          <w:rFonts w:ascii="Arial" w:cs="Arial" w:hAnsi="Arial" w:eastAsia="Arial"/>
          <w:lang w:val="en-US"/>
        </w:rPr>
      </w:pPr>
    </w:p>
    <w:p>
      <w:pPr>
        <w:pStyle w:val="heading 2"/>
        <w:spacing w:before="0" w:after="0" w:line="276" w:lineRule="auto"/>
        <w:jc w:val="center"/>
        <w:rPr>
          <w:rFonts w:ascii="Arial" w:cs="Arial" w:hAnsi="Arial" w:eastAsia="Arial"/>
          <w:sz w:val="22"/>
          <w:szCs w:val="22"/>
          <w:lang w:val="en-US"/>
        </w:rPr>
      </w:pPr>
    </w:p>
    <w:p>
      <w:pPr>
        <w:pStyle w:val="Body"/>
        <w:jc w:val="both"/>
        <w:rPr>
          <w:rFonts w:ascii="Arial" w:cs="Arial" w:hAnsi="Arial" w:eastAsia="Arial"/>
          <w:u w:val="single"/>
        </w:rPr>
      </w:pPr>
      <w:r>
        <w:rPr>
          <w:rFonts w:ascii="Arial" w:hAnsi="Arial"/>
          <w:u w:val="single"/>
          <w:rtl w:val="0"/>
          <w:lang w:val="en-US"/>
        </w:rPr>
        <w:t xml:space="preserve">Areas of practice: </w:t>
      </w:r>
    </w:p>
    <w:p>
      <w:pPr>
        <w:pStyle w:val="List Paragraph"/>
        <w:numPr>
          <w:ilvl w:val="0"/>
          <w:numId w:val="2"/>
        </w:numPr>
        <w:bidi w:val="0"/>
        <w:ind w:right="0"/>
        <w:jc w:val="both"/>
        <w:rPr>
          <w:rFonts w:ascii="Arial" w:hAnsi="Arial"/>
          <w:rtl w:val="0"/>
          <w:lang w:val="en-US"/>
        </w:rPr>
      </w:pPr>
      <w:r>
        <w:rPr>
          <w:rFonts w:ascii="Arial" w:hAnsi="Arial"/>
          <w:rtl w:val="0"/>
          <w:lang w:val="en-US"/>
        </w:rPr>
        <w:t xml:space="preserve">TMT and Data protection </w:t>
      </w:r>
    </w:p>
    <w:p>
      <w:pPr>
        <w:pStyle w:val="List Paragraph"/>
        <w:numPr>
          <w:ilvl w:val="0"/>
          <w:numId w:val="2"/>
        </w:numPr>
        <w:bidi w:val="0"/>
        <w:ind w:right="0"/>
        <w:jc w:val="both"/>
        <w:rPr>
          <w:rFonts w:ascii="Arial" w:hAnsi="Arial"/>
          <w:rtl w:val="0"/>
          <w:lang w:val="fr-FR"/>
        </w:rPr>
      </w:pPr>
      <w:r>
        <w:rPr>
          <w:rFonts w:ascii="Arial" w:hAnsi="Arial"/>
          <w:rtl w:val="0"/>
          <w:lang w:val="fr-FR"/>
        </w:rPr>
        <w:t xml:space="preserve">Regulatory and Compliance  </w:t>
      </w:r>
    </w:p>
    <w:p>
      <w:pPr>
        <w:pStyle w:val="List Paragraph"/>
        <w:numPr>
          <w:ilvl w:val="0"/>
          <w:numId w:val="2"/>
        </w:numPr>
        <w:bidi w:val="0"/>
        <w:ind w:right="0"/>
        <w:jc w:val="both"/>
        <w:rPr>
          <w:rFonts w:ascii="Arial" w:hAnsi="Arial"/>
          <w:rtl w:val="0"/>
          <w:lang w:val="en-US"/>
        </w:rPr>
      </w:pPr>
      <w:r>
        <w:rPr>
          <w:rFonts w:ascii="Arial" w:hAnsi="Arial"/>
          <w:rtl w:val="0"/>
          <w:lang w:val="en-US"/>
        </w:rPr>
        <w:t>Financial Services and FinTech</w:t>
      </w:r>
    </w:p>
    <w:p>
      <w:pPr>
        <w:pStyle w:val="List Paragraph"/>
        <w:jc w:val="both"/>
        <w:rPr>
          <w:rFonts w:ascii="Arial" w:cs="Arial" w:hAnsi="Arial" w:eastAsia="Arial"/>
          <w:lang w:val="en-US"/>
        </w:rPr>
      </w:pPr>
    </w:p>
    <w:p>
      <w:pPr>
        <w:pStyle w:val="No Spacing"/>
        <w:jc w:val="both"/>
        <w:rPr>
          <w:rFonts w:ascii="Arial" w:cs="Arial" w:hAnsi="Arial" w:eastAsia="Arial"/>
        </w:rPr>
      </w:pPr>
      <w:r>
        <w:rPr>
          <w:rFonts w:ascii="Arial" w:hAnsi="Arial"/>
          <w:rtl w:val="0"/>
          <w:lang w:val="en-US"/>
        </w:rPr>
        <w:t>Zo</w:t>
      </w:r>
      <w:r>
        <w:rPr>
          <w:rFonts w:ascii="Arial" w:hAnsi="Arial" w:hint="default"/>
          <w:rtl w:val="0"/>
          <w:lang w:val="en-US"/>
        </w:rPr>
        <w:t xml:space="preserve">é </w:t>
      </w:r>
      <w:r>
        <w:rPr>
          <w:rFonts w:ascii="Arial" w:hAnsi="Arial"/>
          <w:rtl w:val="0"/>
          <w:lang w:val="en-US"/>
        </w:rPr>
        <w:t>Wagner joined the firm in 2018.</w:t>
      </w:r>
    </w:p>
    <w:p>
      <w:pPr>
        <w:pStyle w:val="No Spacing"/>
        <w:jc w:val="both"/>
        <w:rPr>
          <w:rFonts w:ascii="Arial" w:cs="Arial" w:hAnsi="Arial" w:eastAsia="Arial"/>
        </w:rPr>
      </w:pPr>
    </w:p>
    <w:p>
      <w:pPr>
        <w:pStyle w:val="No Spacing"/>
        <w:jc w:val="both"/>
        <w:rPr>
          <w:rFonts w:ascii="Arial" w:cs="Arial" w:hAnsi="Arial" w:eastAsia="Arial"/>
        </w:rPr>
      </w:pPr>
      <w:r>
        <w:rPr>
          <w:rFonts w:ascii="Arial" w:hAnsi="Arial"/>
          <w:rtl w:val="0"/>
          <w:lang w:val="en-US"/>
        </w:rPr>
        <w:t>Prior to joining the firm, Zo</w:t>
      </w:r>
      <w:r>
        <w:rPr>
          <w:rFonts w:ascii="Arial" w:hAnsi="Arial" w:hint="default"/>
          <w:rtl w:val="0"/>
          <w:lang w:val="en-US"/>
        </w:rPr>
        <w:t xml:space="preserve">é </w:t>
      </w:r>
      <w:r>
        <w:rPr>
          <w:rFonts w:ascii="Arial" w:hAnsi="Arial"/>
          <w:rtl w:val="0"/>
          <w:lang w:val="en-US"/>
        </w:rPr>
        <w:t>Wagner worked as a tax apprentice at Airbus Helicopters in Marignane, France. She has also been an active member of the National Association of Luxembourgish Students in Law (</w:t>
      </w:r>
      <w:r>
        <w:rPr>
          <w:rFonts w:ascii="Arial" w:hAnsi="Arial"/>
          <w:i w:val="1"/>
          <w:iCs w:val="1"/>
          <w:rtl w:val="0"/>
          <w:lang w:val="en-US"/>
        </w:rPr>
        <w:t>ANELD</w:t>
      </w:r>
      <w:r>
        <w:rPr>
          <w:rFonts w:ascii="Arial" w:hAnsi="Arial"/>
          <w:rtl w:val="0"/>
          <w:lang w:val="en-US"/>
        </w:rPr>
        <w:t>) for many years and presided the board in 2015-2016.</w:t>
      </w:r>
    </w:p>
    <w:p>
      <w:pPr>
        <w:pStyle w:val="No Spacing"/>
        <w:jc w:val="both"/>
        <w:rPr>
          <w:rFonts w:ascii="Arial" w:cs="Arial" w:hAnsi="Arial" w:eastAsia="Arial"/>
        </w:rPr>
      </w:pPr>
    </w:p>
    <w:p>
      <w:pPr>
        <w:pStyle w:val="No Spacing"/>
        <w:jc w:val="both"/>
      </w:pPr>
      <w:r>
        <w:rPr>
          <w:rFonts w:ascii="Arial" w:hAnsi="Arial"/>
          <w:rtl w:val="0"/>
          <w:lang w:val="en-US"/>
        </w:rPr>
        <w:t>She studied at the Aix-Marseille University in Aix-en-Provence, France and holds a Master degree in Business and Tax law (</w:t>
      </w:r>
      <w:r>
        <w:rPr>
          <w:rFonts w:ascii="Arial" w:hAnsi="Arial"/>
          <w:i w:val="1"/>
          <w:iCs w:val="1"/>
          <w:rtl w:val="0"/>
          <w:lang w:val="en-US"/>
        </w:rPr>
        <w:t>Master II Droit et Fiscalit</w:t>
      </w:r>
      <w:r>
        <w:rPr>
          <w:rFonts w:ascii="Arial" w:hAnsi="Arial" w:hint="default"/>
          <w:i w:val="1"/>
          <w:iCs w:val="1"/>
          <w:rtl w:val="0"/>
          <w:lang w:val="en-US"/>
        </w:rPr>
        <w:t xml:space="preserve">é </w:t>
      </w:r>
      <w:r>
        <w:rPr>
          <w:rFonts w:ascii="Arial" w:hAnsi="Arial"/>
          <w:i w:val="1"/>
          <w:iCs w:val="1"/>
          <w:rtl w:val="0"/>
          <w:lang w:val="en-US"/>
        </w:rPr>
        <w:t>de l</w:t>
      </w:r>
      <w:r>
        <w:rPr>
          <w:rFonts w:ascii="Arial" w:hAnsi="Arial" w:hint="default"/>
          <w:i w:val="1"/>
          <w:iCs w:val="1"/>
          <w:rtl w:val="0"/>
          <w:lang w:val="en-US"/>
        </w:rPr>
        <w:t>’</w:t>
      </w:r>
      <w:r>
        <w:rPr>
          <w:rFonts w:ascii="Arial" w:hAnsi="Arial"/>
          <w:i w:val="1"/>
          <w:iCs w:val="1"/>
          <w:rtl w:val="0"/>
          <w:lang w:val="en-US"/>
        </w:rPr>
        <w:t>entreprise</w:t>
      </w:r>
      <w:r>
        <w:rPr>
          <w:rFonts w:ascii="Arial" w:hAnsi="Arial"/>
          <w:rtl w:val="0"/>
          <w:lang w:val="en-US"/>
        </w:rPr>
        <w:t>) as well as a Magister degree in Business law, Tax and Accounting (</w:t>
      </w:r>
      <w:r>
        <w:rPr>
          <w:rFonts w:ascii="Arial" w:hAnsi="Arial"/>
          <w:i w:val="1"/>
          <w:iCs w:val="1"/>
          <w:rtl w:val="0"/>
          <w:lang w:val="en-US"/>
        </w:rPr>
        <w:t>Magist</w:t>
      </w:r>
      <w:r>
        <w:rPr>
          <w:rFonts w:ascii="Arial" w:hAnsi="Arial" w:hint="default"/>
          <w:i w:val="1"/>
          <w:iCs w:val="1"/>
          <w:rtl w:val="0"/>
          <w:lang w:val="en-US"/>
        </w:rPr>
        <w:t>è</w:t>
      </w:r>
      <w:r>
        <w:rPr>
          <w:rFonts w:ascii="Arial" w:hAnsi="Arial"/>
          <w:i w:val="1"/>
          <w:iCs w:val="1"/>
          <w:rtl w:val="0"/>
          <w:lang w:val="en-US"/>
        </w:rPr>
        <w:t>re Droit des affaires, Fiscalit</w:t>
      </w:r>
      <w:r>
        <w:rPr>
          <w:rFonts w:ascii="Arial" w:hAnsi="Arial" w:hint="default"/>
          <w:i w:val="1"/>
          <w:iCs w:val="1"/>
          <w:rtl w:val="0"/>
          <w:lang w:val="en-US"/>
        </w:rPr>
        <w:t xml:space="preserve">é </w:t>
      </w:r>
      <w:r>
        <w:rPr>
          <w:rFonts w:ascii="Arial" w:hAnsi="Arial"/>
          <w:i w:val="1"/>
          <w:iCs w:val="1"/>
          <w:rtl w:val="0"/>
          <w:lang w:val="en-US"/>
        </w:rPr>
        <w:t>et Comptabilit</w:t>
      </w:r>
      <w:r>
        <w:rPr>
          <w:rFonts w:ascii="Arial" w:hAnsi="Arial" w:hint="default"/>
          <w:i w:val="1"/>
          <w:iCs w:val="1"/>
          <w:rtl w:val="0"/>
          <w:lang w:val="en-US"/>
        </w:rPr>
        <w:t>é</w:t>
      </w:r>
      <w:r>
        <w:rPr>
          <w:rFonts w:ascii="Arial" w:hAnsi="Arial"/>
          <w:rtl w:val="0"/>
          <w:lang w:val="en-US"/>
        </w:rPr>
        <w:t>).</w:t>
      </w:r>
      <w:r>
        <w:rPr>
          <w:rFonts w:ascii="Arial" w:hAnsi="Arial"/>
          <w:rtl w:val="0"/>
          <w:lang w:val="fr-FR"/>
        </w:rPr>
        <w:t xml:space="preserve"> She has been a member of the Committee of the Luxembourg Young Bar Association </w:t>
      </w:r>
      <w:r>
        <w:rPr>
          <w:rFonts w:ascii="Arial" w:hAnsi="Arial"/>
          <w:i w:val="1"/>
          <w:iCs w:val="1"/>
          <w:rtl w:val="0"/>
          <w:lang w:val="fr-FR"/>
        </w:rPr>
        <w:t xml:space="preserve">(CJBL) </w:t>
      </w:r>
      <w:r>
        <w:rPr>
          <w:rFonts w:ascii="Arial" w:hAnsi="Arial"/>
          <w:rtl w:val="0"/>
          <w:lang w:val="fr-FR"/>
        </w:rPr>
        <w:t>from 2018 to 2020.</w:t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Garamond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Garamond" w:cs="Garamond" w:hAnsi="Garamond" w:eastAsia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Garamond" w:cs="Garamond" w:hAnsi="Garamond" w:eastAsia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Garamond" w:cs="Garamond" w:hAnsi="Garamond" w:eastAsia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Garamond" w:cs="Garamond" w:hAnsi="Garamond" w:eastAsia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Garamond" w:cs="Garamond" w:hAnsi="Garamond" w:eastAsia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Garamond" w:cs="Garamond" w:hAnsi="Garamond" w:eastAsia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Garamond" w:cs="Garamond" w:hAnsi="Garamond" w:eastAsia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Garamond" w:cs="Garamond" w:hAnsi="Garamond" w:eastAsia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Garamond" w:cs="Garamond" w:hAnsi="Garamond" w:eastAsia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</w:rPr>
  </w:style>
  <w:style w:type="paragraph" w:styleId="heading 2">
    <w:name w:val="heading 2"/>
    <w:next w:val="heading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0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vertAlign w:val="baseline"/>
      <w:lang w:val="fr-FR"/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fr-FR"/>
    </w:rPr>
  </w:style>
  <w:style w:type="numbering" w:styleId="Imported Style 1">
    <w:name w:val="Imported Style 1"/>
    <w:pPr>
      <w:numPr>
        <w:numId w:val="1"/>
      </w:numPr>
    </w:p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